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5C0" w:rsidRPr="00A315C0" w:rsidRDefault="00A315C0" w:rsidP="00A315C0">
      <w:pPr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(miejscowość), (data)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3"/>
        <w:gridCol w:w="3940"/>
      </w:tblGrid>
      <w:tr w:rsidR="00A315C0" w:rsidRPr="00A315C0" w:rsidTr="00A315C0">
        <w:trPr>
          <w:trHeight w:val="98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315C0" w:rsidRPr="00A315C0" w:rsidRDefault="00A315C0" w:rsidP="00A315C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mgr farm.</w:t>
            </w:r>
            <w:r w:rsidRPr="00A31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A315C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>(imię i nazwisko)</w:t>
            </w:r>
          </w:p>
          <w:p w:rsidR="00A315C0" w:rsidRPr="00A315C0" w:rsidRDefault="00A315C0" w:rsidP="00A315C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5C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kierownik apteki</w:t>
            </w:r>
            <w:r w:rsidRPr="00A31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A315C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>(opisać aptekę)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315C0" w:rsidRPr="00A315C0" w:rsidRDefault="00A315C0" w:rsidP="00A315C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A315C0" w:rsidRPr="00A315C0" w:rsidTr="00A315C0">
        <w:trPr>
          <w:trHeight w:val="47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315C0" w:rsidRPr="00A315C0" w:rsidRDefault="00A315C0" w:rsidP="00A315C0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315C0" w:rsidRDefault="00A315C0" w:rsidP="00A315C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  <w:p w:rsidR="00A315C0" w:rsidRPr="00A315C0" w:rsidRDefault="00A315C0" w:rsidP="00A315C0">
            <w:pPr>
              <w:spacing w:before="24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5C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>(dane podmiotu prowadzącego aptekę)</w:t>
            </w:r>
          </w:p>
        </w:tc>
      </w:tr>
    </w:tbl>
    <w:p w:rsidR="00A315C0" w:rsidRPr="00A315C0" w:rsidRDefault="00A315C0" w:rsidP="00A315C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A315C0" w:rsidRPr="00A315C0" w:rsidRDefault="00A315C0" w:rsidP="00A315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pl-PL"/>
        </w:rPr>
        <w:t>Wskazanie</w:t>
      </w:r>
    </w:p>
    <w:p w:rsidR="00A315C0" w:rsidRPr="00A315C0" w:rsidRDefault="00A315C0" w:rsidP="00A315C0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pl-PL"/>
        </w:rPr>
        <w:t>potrzeb w zakresie zatrudnienia personelu fachowego w aptece</w:t>
      </w:r>
    </w:p>
    <w:p w:rsidR="00A315C0" w:rsidRPr="00A315C0" w:rsidRDefault="00A315C0" w:rsidP="00A315C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Działając na podstawie art. 88 ust. 5 pkt 1 lit. b) i pkt 4 lit. b) ustawy z dnia 6 września 2001 r. – Prawo farmaceutyczne (</w:t>
      </w:r>
      <w:proofErr w:type="spellStart"/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 U. 2021, poz. 974 ze zm.) wskazuję, że w aptece pn. „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____________________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”, poł. w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____________________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 której pełnię funkcję kierownika apteki, jest niewystarczająca ilość personelu fachowego, w wyniku czego apteka nie może w sposób prawidłowy realizować zadań ustawowych wynikających z przepisów ww. ustawy oraz przepisów szczegółowych. Obecnie w aptece zatrudnionych jest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farmaceutów oraz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techników farmaceutycznych. Łączny wymiar etatu farmaceutów wynosi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techników farmaceutycznych wynosi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. Apteka czynna jest w dniach od</w:t>
      </w:r>
      <w:r w:rsidRPr="00A315C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</w:t>
      </w:r>
      <w:r w:rsidRPr="00A315C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 godz. od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Tak szeroki zakres pracy apteki powoduje, że powinna być ona należycie obsadzona personelem fachowym, uwzględniając dodatkowo obłożenie pracą wynikające z jej lokalizacji oraz zakresu świadczonych usług.</w:t>
      </w:r>
    </w:p>
    <w:p w:rsidR="00A315C0" w:rsidRPr="00A315C0" w:rsidRDefault="00A315C0" w:rsidP="00A315C0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Wskazuję, że zgodnie z art. 92 ustawy – Prawo farmaceutyczne „</w:t>
      </w:r>
      <w:r w:rsidRPr="00A315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godzinach pracy apteki w jej lokalu znajduje się zatrudniony w niej farmaceuta lub farmaceuta wykonujący swoje obowiązki w aptece na innej podstawie prawnej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”. Obowiązek należytej obsady apteki, w tym zapewnienia stałej obecności farmaceuty, spoczywa na właścicielu, tj. posiadaczu zezwolenia. Zgodnie z art. 99b ust. 1 tej ustawy: „</w:t>
      </w:r>
      <w:r w:rsidRPr="00A315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Podmiot prowadzący aptekę jest obowiązany zapewnić wykonywanie czynności w aptece przez farmaceutów i techników farmaceutycznych w liczbie odpowiadającej zakresowi działalności oraz dniom i godzinom pracy apteki oraz udokumentować realizację tego obowiązku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”. Kierownik apteki na tym polu posiada przede wszystkim uprawnienia sygnalizacyjne. Zgodnie z przepisami art. 88 ust. 5 pkt 1 lit. b) i pkt 4 lit. b) ustawy – Prawo farmaceutyczne: „Do zadań kierownika apteki ogólnodostępnej należy osobiste kierowanie apteką, obejmujące:</w:t>
      </w:r>
    </w:p>
    <w:p w:rsidR="00A315C0" w:rsidRPr="00A315C0" w:rsidRDefault="00A315C0" w:rsidP="00A315C0">
      <w:pPr>
        <w:numPr>
          <w:ilvl w:val="0"/>
          <w:numId w:val="1"/>
        </w:numPr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[pkt 1] </w:t>
      </w:r>
      <w:r w:rsidRPr="00A315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wskazywanie podmiotowi prowadzącemu aptekę potrzeb albo zastrzeżeń w zakresie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[lit. b] </w:t>
      </w:r>
      <w:r w:rsidRPr="00A315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zatrudniania personelu fachowego w aptece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A315C0" w:rsidRPr="00A315C0" w:rsidRDefault="00A315C0" w:rsidP="00A315C0">
      <w:pPr>
        <w:numPr>
          <w:ilvl w:val="0"/>
          <w:numId w:val="1"/>
        </w:num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[pkt 4] </w:t>
      </w:r>
      <w:r w:rsidRPr="00A315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nadzór nad pracownikami oraz innym personelem zatrudnionym w aptece, w tym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[lit. b] </w:t>
      </w:r>
      <w:r w:rsidRPr="00A315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wskazywanie podmiotowi prowadzącemu aptekę odpowiedniej liczby fachowego personelu, w zależności od skali oraz zakresu działalności apteki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”.</w:t>
      </w:r>
      <w:bookmarkStart w:id="0" w:name="_GoBack"/>
      <w:bookmarkEnd w:id="0"/>
    </w:p>
    <w:p w:rsidR="00A315C0" w:rsidRPr="00A315C0" w:rsidRDefault="00A315C0" w:rsidP="00A315C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 uzupełnieniu dodam, że kierownikowi apteki przysługuje również uprawnienie do zamknięcia apteki w trybie art. 99b ust. 2 i 3 ustawy – Prawo farmaceutyczne. Przepisy te stwierdzają: „[ust. 2] Jeżeli podmiot prowadzący aptekę narusza obowiązek, o którym mowa w ust. 1, kierownik apteki skraca godziny pracy apteki odpowiednio do liczby farmaceutów i techników farmaceutycznych wykonujących czynności w aptece. [ust. 3] Kierownik apteki niezwłocznie informuje podmiot prowadzący aptekę o skróceniu godzin pracy apteki, o którym mowa w ust. 2”.</w:t>
      </w:r>
    </w:p>
    <w:p w:rsidR="00A315C0" w:rsidRPr="00A315C0" w:rsidRDefault="00A315C0" w:rsidP="00A315C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związku z tym wnoszę o dostosowanie liczby personelu aptecznego, w szczególności zatrudnionych farmaceutów, do zakresu pracy apteki oraz godzin otwarcia i rekomenduję zatrudnienie dodatkowo odpowiednio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farmaceutów, 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pl-PL"/>
        </w:rPr>
        <w:t>___</w:t>
      </w: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techników farmaceutycznych.</w:t>
      </w:r>
    </w:p>
    <w:p w:rsidR="00A315C0" w:rsidRPr="00A315C0" w:rsidRDefault="00A315C0" w:rsidP="00A315C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poważaniem</w:t>
      </w:r>
    </w:p>
    <w:p w:rsidR="00A315C0" w:rsidRPr="00A315C0" w:rsidRDefault="00A315C0" w:rsidP="00A315C0">
      <w:pPr>
        <w:spacing w:before="240" w:after="24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"/>
        <w:gridCol w:w="3560"/>
      </w:tblGrid>
      <w:tr w:rsidR="00A315C0" w:rsidRPr="00A315C0" w:rsidTr="00A315C0">
        <w:trPr>
          <w:trHeight w:val="71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315C0" w:rsidRPr="00A315C0" w:rsidRDefault="00A315C0" w:rsidP="00A315C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315C0" w:rsidRPr="00A315C0" w:rsidRDefault="00A315C0" w:rsidP="00A315C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____________________________</w:t>
            </w:r>
          </w:p>
        </w:tc>
      </w:tr>
      <w:tr w:rsidR="00A315C0" w:rsidRPr="00A315C0" w:rsidTr="00A315C0">
        <w:trPr>
          <w:trHeight w:val="71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315C0" w:rsidRPr="00A315C0" w:rsidRDefault="00A315C0" w:rsidP="00A315C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315C0" w:rsidRPr="00A315C0" w:rsidRDefault="00A315C0" w:rsidP="00A315C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5C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>(podpis kierownika apteki)</w:t>
            </w:r>
          </w:p>
        </w:tc>
      </w:tr>
    </w:tbl>
    <w:p w:rsidR="00A315C0" w:rsidRPr="00A315C0" w:rsidRDefault="00A315C0" w:rsidP="00A315C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5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885A8F" w:rsidRDefault="00885A8F"/>
    <w:sectPr w:rsidR="00885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BA1A90"/>
    <w:multiLevelType w:val="multilevel"/>
    <w:tmpl w:val="97E8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5C0"/>
    <w:rsid w:val="00885A8F"/>
    <w:rsid w:val="00A3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E5302"/>
  <w15:chartTrackingRefBased/>
  <w15:docId w15:val="{F429B804-BB4E-4457-99D1-FDF9FFA7B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31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Repelewicz</dc:creator>
  <cp:keywords/>
  <dc:description/>
  <cp:lastModifiedBy>Marcin Repelewicz</cp:lastModifiedBy>
  <cp:revision>1</cp:revision>
  <dcterms:created xsi:type="dcterms:W3CDTF">2021-07-19T08:26:00Z</dcterms:created>
  <dcterms:modified xsi:type="dcterms:W3CDTF">2021-07-19T08:28:00Z</dcterms:modified>
</cp:coreProperties>
</file>